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814" w:rsidRDefault="000C5841">
      <w:r>
        <w:t>D</w:t>
      </w:r>
      <w:r w:rsidR="009E5976">
        <w:t xml:space="preserve">&amp;O   </w:t>
      </w:r>
      <w:r w:rsidR="00D00604">
        <w:t xml:space="preserve"> </w:t>
      </w:r>
    </w:p>
    <w:p w:rsidR="009E5976" w:rsidRDefault="00D00604">
      <w:r>
        <w:t>PUBLIC</w:t>
      </w:r>
      <w:r>
        <w:tab/>
      </w:r>
      <w:r>
        <w:tab/>
      </w:r>
      <w:r>
        <w:tab/>
        <w:t>PRIVATE</w:t>
      </w:r>
      <w:r>
        <w:tab/>
        <w:t>REITS/LIMITED PARTNNERSHIPS</w:t>
      </w:r>
      <w:r>
        <w:tab/>
      </w:r>
      <w:r>
        <w:tab/>
        <w:t>NON PROFIT</w:t>
      </w:r>
    </w:p>
    <w:p w:rsidR="009E5976" w:rsidRDefault="009E5976"/>
    <w:p w:rsidR="009E5976" w:rsidRDefault="009E5976">
      <w:r>
        <w:t>Directors’ &amp; Officers’ Liability insurance had its origins in the 1</w:t>
      </w:r>
      <w:r w:rsidR="00D0490F">
        <w:t>9</w:t>
      </w:r>
      <w:r>
        <w:t xml:space="preserve">30s after passage of the Securities Exchange Act of 1933 and 1934, which constituted the first effective </w:t>
      </w:r>
      <w:r w:rsidR="00D00604">
        <w:t>legislation</w:t>
      </w:r>
      <w:r>
        <w:t xml:space="preserve"> of US securities laws on the federal level.</w:t>
      </w:r>
    </w:p>
    <w:p w:rsidR="000C5841" w:rsidRDefault="009E5976">
      <w:r>
        <w:t xml:space="preserve">It was not until the </w:t>
      </w:r>
      <w:r w:rsidR="00D00604">
        <w:t>mid-1960s</w:t>
      </w:r>
      <w:r>
        <w:t xml:space="preserve"> that the </w:t>
      </w:r>
      <w:r w:rsidR="00D00604">
        <w:t>exposures</w:t>
      </w:r>
      <w:r>
        <w:t xml:space="preserve"> to individual directors and officers as opposed to the corporate entity, began to get attention and the ‘</w:t>
      </w:r>
      <w:r w:rsidR="00D00604">
        <w:t>modern</w:t>
      </w:r>
      <w:r w:rsidR="000C5841">
        <w:t>’ era of D&amp;O insurance began.  The 1960’s represented a time of corporate mergers and consolidations unlike anything before seen.</w:t>
      </w:r>
    </w:p>
    <w:p w:rsidR="009E5976" w:rsidRDefault="000C5841">
      <w:r>
        <w:t xml:space="preserve">Merger and </w:t>
      </w:r>
      <w:r w:rsidR="00D00604">
        <w:t>acquisitions</w:t>
      </w:r>
      <w:r>
        <w:t xml:space="preserve"> started again in the early 1980’s this</w:t>
      </w:r>
      <w:r w:rsidR="009E5976">
        <w:t xml:space="preserve"> was the day of hostile takeovers, greenmail, and </w:t>
      </w:r>
      <w:r>
        <w:t>proxy fights.    It was also the period known as the “</w:t>
      </w:r>
      <w:hyperlink r:id="rId4" w:history="1">
        <w:r w:rsidRPr="000C5841">
          <w:rPr>
            <w:rStyle w:val="Hyperlink"/>
          </w:rPr>
          <w:t>S&amp;L Crisis</w:t>
        </w:r>
      </w:hyperlink>
      <w:r w:rsidR="00D00604">
        <w:t>”.</w:t>
      </w:r>
      <w:r>
        <w:t xml:space="preserve"> </w:t>
      </w:r>
      <w:r w:rsidR="009E5976">
        <w:t xml:space="preserve"> By the 1980s, D&amp;O insurance for public companies was no longer a </w:t>
      </w:r>
      <w:r w:rsidR="00D00604">
        <w:t>discretionary</w:t>
      </w:r>
      <w:r w:rsidR="009E5976">
        <w:t xml:space="preserve"> purchase but a mandatory one.</w:t>
      </w:r>
    </w:p>
    <w:p w:rsidR="009E5976" w:rsidRDefault="009E5976"/>
    <w:p w:rsidR="00D00604" w:rsidRDefault="009E5976">
      <w:r>
        <w:t>In the 1990s</w:t>
      </w:r>
      <w:r w:rsidR="000C5841">
        <w:t xml:space="preserve">, D&amp;O underwriters experienced the “Tech Bubble” collapse.  At the time, this was the most significant frequency and </w:t>
      </w:r>
      <w:r w:rsidR="00D00604">
        <w:t>severity</w:t>
      </w:r>
      <w:r w:rsidR="000C5841">
        <w:t xml:space="preserve"> ever experienced.   The claims’ dollars were </w:t>
      </w:r>
      <w:r w:rsidR="00D00604">
        <w:t>extr</w:t>
      </w:r>
      <w:r w:rsidR="000A7801">
        <w:t>a-ordinary</w:t>
      </w:r>
      <w:r w:rsidR="000C5841">
        <w:t>.</w:t>
      </w:r>
      <w:r w:rsidR="00D00604">
        <w:t xml:space="preserve">  It was also the time that an age old D&amp;O problem was “solved”.  </w:t>
      </w:r>
    </w:p>
    <w:p w:rsidR="009E5976" w:rsidRDefault="00D00604">
      <w:r>
        <w:t>F</w:t>
      </w:r>
      <w:r w:rsidR="009E5976">
        <w:t xml:space="preserve">requent and </w:t>
      </w:r>
      <w:r>
        <w:t>protracted</w:t>
      </w:r>
      <w:r w:rsidR="009E5976">
        <w:t xml:space="preserve"> allocation (between insureds and insurers) litigation resulted in some unfavorable results for the insurers. Since the beginning of D&amp;O insurance there has been the issue of “allocation” between covered and uncovered loss. There was never a happy ending when resolving allocation. The most famous litigation that ultimately changed D&amp;O insurance forever was the Nordstrom v. Chubb (820 F. Supp. 530 (W.D. Wash. 1992). Almost immediately insurers began offering 100% allocation on securities litigation for an additional premium (insureds had the option to choose the percentage). Within months, all insurers were offering the “100% allocation” built into the premium</w:t>
      </w:r>
      <w:r w:rsidR="00744AB2">
        <w:t xml:space="preserve">. For additional information on D&amp;O history:   </w:t>
      </w:r>
      <w:proofErr w:type="spellStart"/>
      <w:r w:rsidR="00744AB2">
        <w:t>xxxxx</w:t>
      </w:r>
      <w:proofErr w:type="spellEnd"/>
      <w:r w:rsidR="00744AB2">
        <w:t>)</w:t>
      </w:r>
    </w:p>
    <w:p w:rsidR="00D00604" w:rsidRDefault="00D00604">
      <w:r>
        <w:t xml:space="preserve">D&amp;O policies are written as claims made and reported. Significant concern needs to be directed at </w:t>
      </w:r>
      <w:r>
        <w:br/>
      </w:r>
      <w:r>
        <w:tab/>
        <w:t>Pending and/or Prior Litigation Date</w:t>
      </w:r>
    </w:p>
    <w:p w:rsidR="00D00604" w:rsidRDefault="00D00604" w:rsidP="00D00604">
      <w:pPr>
        <w:ind w:firstLine="720"/>
      </w:pPr>
      <w:r>
        <w:t>Prior Acts Exclusion</w:t>
      </w:r>
    </w:p>
    <w:p w:rsidR="00D00604" w:rsidRDefault="00D00604" w:rsidP="00D00604">
      <w:pPr>
        <w:ind w:firstLine="720"/>
      </w:pPr>
      <w:r>
        <w:t>Retro Date</w:t>
      </w:r>
    </w:p>
    <w:p w:rsidR="00D00604" w:rsidRDefault="00D00604" w:rsidP="00D00604">
      <w:pPr>
        <w:ind w:firstLine="720"/>
      </w:pPr>
      <w:r>
        <w:t>Long or Short Warranty application</w:t>
      </w:r>
    </w:p>
    <w:p w:rsidR="00BA752B" w:rsidRDefault="00072BC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04.25pt">
            <v:imagedata r:id="rId5" o:title="Fig3"/>
          </v:shape>
        </w:pict>
      </w:r>
    </w:p>
    <w:p w:rsidR="00744AB2" w:rsidRDefault="00744AB2">
      <w:r>
        <w:lastRenderedPageBreak/>
        <w:t xml:space="preserve">Today’s D&amp;O insurance market has over </w:t>
      </w:r>
      <w:r w:rsidR="000A7801">
        <w:t>6</w:t>
      </w:r>
      <w:r>
        <w:t>5 insurers, each with different policy language, and many have written industry specific policies, such as healthcare, private equity, etc.  Limits of $300</w:t>
      </w:r>
      <w:r w:rsidR="00D00604">
        <w:t xml:space="preserve"> </w:t>
      </w:r>
      <w:proofErr w:type="gramStart"/>
      <w:r w:rsidR="00D00604">
        <w:t xml:space="preserve">million </w:t>
      </w:r>
      <w:r>
        <w:t xml:space="preserve"> plus</w:t>
      </w:r>
      <w:proofErr w:type="gramEnd"/>
      <w:r>
        <w:t xml:space="preserve"> are available for the Fortune 500 companies. Insure</w:t>
      </w:r>
      <w:r w:rsidR="00D00604">
        <w:t>r</w:t>
      </w:r>
      <w:r>
        <w:t xml:space="preserve">s </w:t>
      </w:r>
      <w:r w:rsidR="00D00604">
        <w:t>writing D&amp;O are based in</w:t>
      </w:r>
      <w:r>
        <w:t xml:space="preserve"> USA, Bermuda and Europe.</w:t>
      </w:r>
    </w:p>
    <w:p w:rsidR="00BA752B" w:rsidRDefault="00BA752B">
      <w:r>
        <w:rPr>
          <w:noProof/>
        </w:rPr>
        <w:drawing>
          <wp:inline distT="0" distB="0" distL="0" distR="0">
            <wp:extent cx="4219575" cy="3133725"/>
            <wp:effectExtent l="0" t="0" r="9525" b="9525"/>
            <wp:docPr id="3" name="Picture 3" descr="C:\Users\Peter\AppData\Local\Microsoft\Windows\Temporary Internet Files\Content.Word\Fi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Peter\AppData\Local\Microsoft\Windows\Temporary Internet Files\Content.Word\Fig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AB2" w:rsidRDefault="00D0490F">
      <w:r>
        <w:t>Description</w:t>
      </w:r>
      <w:r w:rsidR="00744AB2">
        <w:t>:</w:t>
      </w:r>
    </w:p>
    <w:p w:rsidR="00744AB2" w:rsidRDefault="000A7801">
      <w:r>
        <w:t>No matter which coverage you seek be it</w:t>
      </w:r>
      <w:r w:rsidR="00744AB2">
        <w:t xml:space="preserve"> public, private or </w:t>
      </w:r>
      <w:r w:rsidR="00D0490F">
        <w:t>nonprofit</w:t>
      </w:r>
      <w:r w:rsidR="00744AB2">
        <w:t xml:space="preserve">, every D&amp;O policy has </w:t>
      </w:r>
      <w:r w:rsidR="00D0490F">
        <w:t>at least</w:t>
      </w:r>
      <w:r w:rsidR="00744AB2">
        <w:t xml:space="preserve"> three insuring clauses:</w:t>
      </w:r>
    </w:p>
    <w:p w:rsidR="00744AB2" w:rsidRDefault="00744AB2"/>
    <w:p w:rsidR="00EA072B" w:rsidRDefault="00EA072B" w:rsidP="00EA072B">
      <w:r>
        <w:rPr>
          <w:noProof/>
        </w:rPr>
        <w:drawing>
          <wp:inline distT="0" distB="0" distL="0" distR="0">
            <wp:extent cx="4124325" cy="3000375"/>
            <wp:effectExtent l="0" t="0" r="9525" b="9525"/>
            <wp:docPr id="1" name="Picture 1" descr="F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05E" w:rsidRDefault="0006305E"/>
    <w:p w:rsidR="0006305E" w:rsidRDefault="000A7801">
      <w:pPr>
        <w:rPr>
          <w:noProof/>
        </w:rPr>
      </w:pPr>
      <w:r>
        <w:rPr>
          <w:noProof/>
        </w:rPr>
        <w:t>Claims Expertise and Advocay is an important part of your wholesaler’s Contribution</w:t>
      </w:r>
    </w:p>
    <w:p w:rsidR="000A7801" w:rsidRDefault="00072BCA">
      <w:pPr>
        <w:rPr>
          <w:noProof/>
        </w:rPr>
      </w:pPr>
      <w:r>
        <w:rPr>
          <w:noProof/>
        </w:rPr>
        <w:t>Let us walk you through a typical claims settlement</w:t>
      </w:r>
    </w:p>
    <w:p w:rsidR="00072BCA" w:rsidRDefault="00072BCA">
      <w:pPr>
        <w:rPr>
          <w:noProof/>
        </w:rPr>
      </w:pPr>
    </w:p>
    <w:p w:rsidR="00072BCA" w:rsidRDefault="00072BCA">
      <w:pPr>
        <w:rPr>
          <w:noProof/>
        </w:rPr>
      </w:pPr>
      <w:r w:rsidRPr="00072BCA">
        <w:rPr>
          <w:noProof/>
        </w:rPr>
        <w:drawing>
          <wp:inline distT="0" distB="0" distL="0" distR="0" wp14:anchorId="280EA6FE" wp14:editId="2504F421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801" w:rsidRDefault="000A7801"/>
    <w:p w:rsidR="001B10FD" w:rsidRDefault="001B10FD"/>
    <w:p w:rsidR="001B10FD" w:rsidRDefault="001B10FD"/>
    <w:p w:rsidR="00072BCA" w:rsidRDefault="00072BCA"/>
    <w:p w:rsidR="00072BCA" w:rsidRDefault="00072BCA"/>
    <w:p w:rsidR="00072BCA" w:rsidRDefault="00072BCA"/>
    <w:p w:rsidR="00072BCA" w:rsidRDefault="00072BCA"/>
    <w:p w:rsidR="00072BCA" w:rsidRDefault="00072BCA"/>
    <w:p w:rsidR="00072BCA" w:rsidRDefault="00072BCA"/>
    <w:p w:rsidR="00072BCA" w:rsidRDefault="00072BCA"/>
    <w:p w:rsidR="00072BCA" w:rsidRDefault="00072BCA">
      <w:bookmarkStart w:id="0" w:name="_GoBack"/>
      <w:bookmarkEnd w:id="0"/>
    </w:p>
    <w:p w:rsidR="00072BCA" w:rsidRDefault="00072BCA"/>
    <w:p w:rsidR="00072BCA" w:rsidRDefault="00072BCA"/>
    <w:p w:rsidR="00072BCA" w:rsidRDefault="00072BCA">
      <w:r>
        <w:t xml:space="preserve">We thought </w:t>
      </w:r>
      <w:proofErr w:type="gramStart"/>
      <w:r>
        <w:t>You</w:t>
      </w:r>
      <w:proofErr w:type="gramEnd"/>
      <w:r>
        <w:t xml:space="preserve"> like to see the structure of one of the largest D&amp;O claim payments every—ALL $350 million. A total loss</w:t>
      </w:r>
    </w:p>
    <w:p w:rsidR="001B10FD" w:rsidRDefault="001B10FD">
      <w:r>
        <w:rPr>
          <w:noProof/>
        </w:rPr>
        <w:drawing>
          <wp:inline distT="0" distB="0" distL="0" distR="0">
            <wp:extent cx="5448300" cy="6353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r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1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76"/>
    <w:rsid w:val="0000251F"/>
    <w:rsid w:val="00023C2E"/>
    <w:rsid w:val="0006305E"/>
    <w:rsid w:val="00072BCA"/>
    <w:rsid w:val="000A7801"/>
    <w:rsid w:val="000C2DCC"/>
    <w:rsid w:val="000C5841"/>
    <w:rsid w:val="00115EBF"/>
    <w:rsid w:val="00185736"/>
    <w:rsid w:val="0019395E"/>
    <w:rsid w:val="00197320"/>
    <w:rsid w:val="001B10FD"/>
    <w:rsid w:val="001D74B1"/>
    <w:rsid w:val="00217814"/>
    <w:rsid w:val="003B1920"/>
    <w:rsid w:val="003D422B"/>
    <w:rsid w:val="003E5A00"/>
    <w:rsid w:val="00423FE9"/>
    <w:rsid w:val="004864B3"/>
    <w:rsid w:val="006112B2"/>
    <w:rsid w:val="007052B7"/>
    <w:rsid w:val="00726FCB"/>
    <w:rsid w:val="00732C9E"/>
    <w:rsid w:val="00744AB2"/>
    <w:rsid w:val="007629CF"/>
    <w:rsid w:val="0077559C"/>
    <w:rsid w:val="007A2DB1"/>
    <w:rsid w:val="007D67C4"/>
    <w:rsid w:val="00833C5E"/>
    <w:rsid w:val="00857873"/>
    <w:rsid w:val="00873C3E"/>
    <w:rsid w:val="0088506C"/>
    <w:rsid w:val="008C7FDE"/>
    <w:rsid w:val="009428A7"/>
    <w:rsid w:val="009E5976"/>
    <w:rsid w:val="00AC4B06"/>
    <w:rsid w:val="00B338C0"/>
    <w:rsid w:val="00BA752B"/>
    <w:rsid w:val="00C368C2"/>
    <w:rsid w:val="00CA3271"/>
    <w:rsid w:val="00D00604"/>
    <w:rsid w:val="00D0490F"/>
    <w:rsid w:val="00D341DF"/>
    <w:rsid w:val="00D9471B"/>
    <w:rsid w:val="00D97239"/>
    <w:rsid w:val="00E53E06"/>
    <w:rsid w:val="00E95E7C"/>
    <w:rsid w:val="00EA072B"/>
    <w:rsid w:val="00F7643A"/>
    <w:rsid w:val="00FA1E1E"/>
    <w:rsid w:val="00FD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B53B1F0-A3D5-404F-834A-7721663D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58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en.wikipedia.org/wiki/Savings_and_loan_crisis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DD30314-B7E4-4C9A-A752-BD00EBCD824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Taffae</dc:creator>
  <cp:keywords/>
  <dc:description/>
  <cp:lastModifiedBy>Peter</cp:lastModifiedBy>
  <cp:revision>2</cp:revision>
  <cp:lastPrinted>2016-06-19T16:39:00Z</cp:lastPrinted>
  <dcterms:created xsi:type="dcterms:W3CDTF">2016-07-29T23:44:00Z</dcterms:created>
  <dcterms:modified xsi:type="dcterms:W3CDTF">2016-07-29T23:44:00Z</dcterms:modified>
</cp:coreProperties>
</file>