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5E80" w14:textId="075B306B" w:rsidR="00581865" w:rsidRPr="00666CA3" w:rsidRDefault="00581865" w:rsidP="00E03D1C">
      <w:pPr>
        <w:tabs>
          <w:tab w:val="left" w:pos="0"/>
        </w:tabs>
        <w:ind w:left="-450"/>
        <w:rPr>
          <w:rFonts w:asciiTheme="majorHAnsi" w:hAnsiTheme="majorHAnsi"/>
          <w:b/>
        </w:rPr>
      </w:pPr>
      <w:r w:rsidRPr="00666CA3">
        <w:rPr>
          <w:rFonts w:asciiTheme="majorHAnsi" w:hAnsiTheme="majorHAnsi"/>
          <w:b/>
        </w:rPr>
        <w:t>ACCOUNTANTS’ PROFESSIONAL LIABILITY INSURANCE – A SHORT PRIMER.</w:t>
      </w:r>
    </w:p>
    <w:p w14:paraId="5EEBF7A4" w14:textId="77777777" w:rsidR="00581865" w:rsidRDefault="00581865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77901784" w14:textId="0BBAB194" w:rsidR="00FB24FD" w:rsidRPr="00F9695D" w:rsidRDefault="005B5FA5" w:rsidP="00E03D1C">
      <w:pPr>
        <w:tabs>
          <w:tab w:val="left" w:pos="0"/>
        </w:tabs>
        <w:ind w:left="-450"/>
        <w:rPr>
          <w:rFonts w:asciiTheme="majorHAnsi" w:hAnsiTheme="majorHAnsi"/>
        </w:rPr>
      </w:pPr>
      <w:r w:rsidRPr="00F9695D">
        <w:rPr>
          <w:rFonts w:asciiTheme="majorHAnsi" w:hAnsiTheme="majorHAnsi"/>
        </w:rPr>
        <w:t>CPAs are recognized as</w:t>
      </w:r>
      <w:r w:rsidR="008151B9" w:rsidRPr="00F9695D">
        <w:rPr>
          <w:rFonts w:asciiTheme="majorHAnsi" w:hAnsiTheme="majorHAnsi"/>
        </w:rPr>
        <w:t xml:space="preserve"> </w:t>
      </w:r>
      <w:r w:rsidR="002C41C4" w:rsidRPr="00F9695D">
        <w:rPr>
          <w:rFonts w:asciiTheme="majorHAnsi" w:hAnsiTheme="majorHAnsi"/>
        </w:rPr>
        <w:t>trusted</w:t>
      </w:r>
      <w:r w:rsidR="008151B9" w:rsidRPr="00F9695D">
        <w:rPr>
          <w:rFonts w:asciiTheme="majorHAnsi" w:hAnsiTheme="majorHAnsi"/>
        </w:rPr>
        <w:t xml:space="preserve"> adviser</w:t>
      </w:r>
      <w:r w:rsidRPr="00F9695D">
        <w:rPr>
          <w:rFonts w:asciiTheme="majorHAnsi" w:hAnsiTheme="majorHAnsi"/>
        </w:rPr>
        <w:t xml:space="preserve">s. </w:t>
      </w:r>
      <w:r w:rsidR="00725FEA">
        <w:rPr>
          <w:rFonts w:asciiTheme="majorHAnsi" w:hAnsiTheme="majorHAnsi"/>
        </w:rPr>
        <w:t>e</w:t>
      </w:r>
      <w:bookmarkStart w:id="0" w:name="_GoBack"/>
      <w:bookmarkEnd w:id="0"/>
      <w:r w:rsidR="002C41C4" w:rsidRPr="00F9695D">
        <w:rPr>
          <w:rFonts w:asciiTheme="majorHAnsi" w:hAnsiTheme="majorHAnsi"/>
        </w:rPr>
        <w:t xml:space="preserve">ntrepreneurs, charities, government </w:t>
      </w:r>
      <w:r w:rsidR="001D41B3" w:rsidRPr="00F9695D">
        <w:rPr>
          <w:rFonts w:asciiTheme="majorHAnsi" w:hAnsiTheme="majorHAnsi"/>
        </w:rPr>
        <w:t>and</w:t>
      </w:r>
      <w:r w:rsidR="002C41C4" w:rsidRPr="00F9695D">
        <w:rPr>
          <w:rFonts w:asciiTheme="majorHAnsi" w:hAnsiTheme="majorHAnsi"/>
        </w:rPr>
        <w:t xml:space="preserve"> private</w:t>
      </w:r>
      <w:r w:rsidR="001D41B3" w:rsidRPr="00F9695D">
        <w:rPr>
          <w:rFonts w:asciiTheme="majorHAnsi" w:hAnsiTheme="majorHAnsi"/>
        </w:rPr>
        <w:t xml:space="preserve"> individuals rely upon the advice of CPAs to ensure</w:t>
      </w:r>
      <w:r w:rsidR="001B1E4C" w:rsidRPr="00F9695D">
        <w:rPr>
          <w:rFonts w:asciiTheme="majorHAnsi" w:hAnsiTheme="majorHAnsi"/>
        </w:rPr>
        <w:t xml:space="preserve"> that they have an accurate record of income and expenditures, and to prepare </w:t>
      </w:r>
      <w:r w:rsidRPr="00F9695D">
        <w:rPr>
          <w:rFonts w:asciiTheme="majorHAnsi" w:hAnsiTheme="majorHAnsi"/>
        </w:rPr>
        <w:t>reports</w:t>
      </w:r>
      <w:r w:rsidR="001B1E4C" w:rsidRPr="00F9695D">
        <w:rPr>
          <w:rFonts w:asciiTheme="majorHAnsi" w:hAnsiTheme="majorHAnsi"/>
        </w:rPr>
        <w:t xml:space="preserve"> for creditors, investors or the IRS.</w:t>
      </w:r>
    </w:p>
    <w:p w14:paraId="6DE31EBB" w14:textId="77777777" w:rsidR="00D13B25" w:rsidRPr="00F9695D" w:rsidRDefault="00D13B25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4B1B47B6" w14:textId="671E1052" w:rsidR="004D5671" w:rsidRPr="00F9695D" w:rsidRDefault="004D5671" w:rsidP="00E03D1C">
      <w:pPr>
        <w:tabs>
          <w:tab w:val="left" w:pos="0"/>
        </w:tabs>
        <w:ind w:left="-450"/>
        <w:rPr>
          <w:rFonts w:asciiTheme="majorHAnsi" w:hAnsiTheme="majorHAnsi"/>
        </w:rPr>
      </w:pPr>
      <w:r w:rsidRPr="00F9695D">
        <w:rPr>
          <w:rFonts w:asciiTheme="majorHAnsi" w:hAnsiTheme="majorHAnsi"/>
        </w:rPr>
        <w:t>A CPA has common law, contractual and statutory duty to their clients to perform services that meet professional standards.  Failure to meet these standards can result in a malpractice claim.</w:t>
      </w:r>
    </w:p>
    <w:p w14:paraId="709AE004" w14:textId="77777777" w:rsidR="004D5671" w:rsidRPr="00F9695D" w:rsidRDefault="004D5671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3D1EEED5" w14:textId="77777777" w:rsidR="00D13B25" w:rsidRPr="00F9695D" w:rsidRDefault="00C4679F" w:rsidP="00E03D1C">
      <w:pPr>
        <w:tabs>
          <w:tab w:val="left" w:pos="0"/>
        </w:tabs>
        <w:ind w:left="-45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/>
        </w:rPr>
        <w:t xml:space="preserve">A </w:t>
      </w:r>
      <w:r w:rsidR="001B1E4C" w:rsidRPr="00F9695D">
        <w:rPr>
          <w:rFonts w:asciiTheme="majorHAnsi" w:hAnsiTheme="majorHAnsi"/>
        </w:rPr>
        <w:t xml:space="preserve">CPA </w:t>
      </w:r>
      <w:r w:rsidRPr="00F9695D">
        <w:rPr>
          <w:rFonts w:asciiTheme="majorHAnsi" w:hAnsiTheme="majorHAnsi"/>
        </w:rPr>
        <w:t>sometimes makes mistakes and p</w:t>
      </w:r>
      <w:r w:rsidR="00D13B25" w:rsidRPr="00F9695D">
        <w:rPr>
          <w:rFonts w:asciiTheme="majorHAnsi" w:hAnsiTheme="majorHAnsi" w:cs="DroidSerif"/>
          <w:color w:val="3C3C3C"/>
        </w:rPr>
        <w:t xml:space="preserve">otential liabilities that may arise during the course of </w:t>
      </w:r>
      <w:r w:rsidR="00F714C3" w:rsidRPr="00F9695D">
        <w:rPr>
          <w:rFonts w:asciiTheme="majorHAnsi" w:hAnsiTheme="majorHAnsi" w:cs="DroidSerif"/>
          <w:color w:val="3C3C3C"/>
        </w:rPr>
        <w:t>professional</w:t>
      </w:r>
      <w:r w:rsidR="00182591" w:rsidRPr="00F9695D">
        <w:rPr>
          <w:rFonts w:asciiTheme="majorHAnsi" w:hAnsiTheme="majorHAnsi" w:cs="DroidSerif"/>
          <w:color w:val="3C3C3C"/>
        </w:rPr>
        <w:t xml:space="preserve"> services</w:t>
      </w:r>
      <w:r w:rsidR="00D13B25" w:rsidRPr="00F9695D">
        <w:rPr>
          <w:rFonts w:asciiTheme="majorHAnsi" w:hAnsiTheme="majorHAnsi" w:cs="DroidSerif"/>
          <w:color w:val="3C3C3C"/>
        </w:rPr>
        <w:t xml:space="preserve"> include:</w:t>
      </w:r>
    </w:p>
    <w:p w14:paraId="66BD47CE" w14:textId="77777777" w:rsidR="00C4679F" w:rsidRPr="00F9695D" w:rsidRDefault="00C4679F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06788F4B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Accounting errors</w:t>
      </w:r>
    </w:p>
    <w:p w14:paraId="5A1DE179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Data entry errors</w:t>
      </w:r>
    </w:p>
    <w:p w14:paraId="475FC5C2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follow Generally Accepted Accounting Principles</w:t>
      </w:r>
    </w:p>
    <w:p w14:paraId="40328568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follow Generally Accepted Auditing Standards</w:t>
      </w:r>
    </w:p>
    <w:p w14:paraId="6D34D021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Improper or incorrect tax advice</w:t>
      </w:r>
    </w:p>
    <w:p w14:paraId="1E216AAA" w14:textId="77777777" w:rsidR="00182591" w:rsidRPr="00F9695D" w:rsidRDefault="00182591" w:rsidP="00C05195">
      <w:pPr>
        <w:pStyle w:val="ListParagraph"/>
        <w:numPr>
          <w:ilvl w:val="0"/>
          <w:numId w:val="2"/>
        </w:numPr>
        <w:tabs>
          <w:tab w:val="left" w:pos="0"/>
        </w:tabs>
        <w:ind w:left="-90"/>
        <w:rPr>
          <w:rFonts w:asciiTheme="majorHAnsi" w:hAnsiTheme="majorHAnsi"/>
        </w:rPr>
      </w:pPr>
      <w:r w:rsidRPr="00F9695D">
        <w:rPr>
          <w:rFonts w:asciiTheme="majorHAnsi" w:hAnsiTheme="majorHAnsi" w:cs="DroidSerif"/>
          <w:color w:val="3C3C3C"/>
        </w:rPr>
        <w:t>Failure to meet deadlines</w:t>
      </w:r>
    </w:p>
    <w:p w14:paraId="0305CC29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maintain appropriate documentation</w:t>
      </w:r>
    </w:p>
    <w:p w14:paraId="1075F08D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perform background search</w:t>
      </w:r>
    </w:p>
    <w:p w14:paraId="179A18C9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maintain appropriate safeguards</w:t>
      </w:r>
    </w:p>
    <w:p w14:paraId="0DB58D0C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complete appropriate forms</w:t>
      </w:r>
    </w:p>
    <w:p w14:paraId="08F0B76A" w14:textId="77777777" w:rsidR="00D13B25" w:rsidRPr="00F9695D" w:rsidRDefault="00D13B25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perform appropriate peer review</w:t>
      </w:r>
    </w:p>
    <w:p w14:paraId="79BBCEF9" w14:textId="77777777" w:rsidR="00182591" w:rsidRPr="00F9695D" w:rsidRDefault="00182591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Theft of client assets</w:t>
      </w:r>
    </w:p>
    <w:p w14:paraId="350013EE" w14:textId="77777777" w:rsidR="00182591" w:rsidRPr="00F9695D" w:rsidRDefault="00182591" w:rsidP="00C05195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Theme="majorHAnsi" w:hAnsiTheme="majorHAnsi" w:cs="DroidSerif"/>
          <w:color w:val="3C3C3C"/>
        </w:rPr>
      </w:pPr>
      <w:r w:rsidRPr="00F9695D">
        <w:rPr>
          <w:rFonts w:asciiTheme="majorHAnsi" w:hAnsiTheme="majorHAnsi" w:cs="DroidSerif"/>
          <w:color w:val="3C3C3C"/>
        </w:rPr>
        <w:t>Failure to detect defalcation/fraud</w:t>
      </w:r>
    </w:p>
    <w:p w14:paraId="5F095379" w14:textId="77777777" w:rsidR="00182591" w:rsidRPr="00F9695D" w:rsidRDefault="00182591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7C6D1C19" w14:textId="701CE815" w:rsidR="00E330B1" w:rsidRPr="00F9695D" w:rsidRDefault="004F59C1" w:rsidP="00E03D1C">
      <w:pPr>
        <w:tabs>
          <w:tab w:val="left" w:pos="0"/>
        </w:tabs>
        <w:ind w:left="-450"/>
        <w:rPr>
          <w:rFonts w:asciiTheme="majorHAnsi" w:hAnsiTheme="majorHAnsi"/>
        </w:rPr>
      </w:pPr>
      <w:r w:rsidRPr="00F9695D">
        <w:rPr>
          <w:rFonts w:asciiTheme="majorHAnsi" w:hAnsiTheme="majorHAnsi"/>
        </w:rPr>
        <w:t xml:space="preserve">To mitigate the impact of a malpractice claim, most prudent CPAs </w:t>
      </w:r>
      <w:r w:rsidR="00D95C29" w:rsidRPr="00F9695D">
        <w:rPr>
          <w:rFonts w:asciiTheme="majorHAnsi" w:hAnsiTheme="majorHAnsi"/>
        </w:rPr>
        <w:t>purchase</w:t>
      </w:r>
      <w:r w:rsidR="005B2802" w:rsidRPr="00F9695D">
        <w:rPr>
          <w:rFonts w:asciiTheme="majorHAnsi" w:hAnsiTheme="majorHAnsi"/>
        </w:rPr>
        <w:t xml:space="preserve"> comprehensive professional liability insurance coverage.</w:t>
      </w:r>
    </w:p>
    <w:p w14:paraId="20006238" w14:textId="77777777" w:rsidR="00D95C29" w:rsidRPr="00F9695D" w:rsidRDefault="00D95C29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49C4CA19" w14:textId="6B32CC6C" w:rsidR="00D95C29" w:rsidRDefault="00894F57" w:rsidP="00E03D1C">
      <w:pPr>
        <w:tabs>
          <w:tab w:val="left" w:pos="0"/>
        </w:tabs>
        <w:ind w:left="-450"/>
        <w:rPr>
          <w:rFonts w:asciiTheme="majorHAnsi" w:hAnsiTheme="majorHAnsi"/>
        </w:rPr>
      </w:pPr>
      <w:r w:rsidRPr="00F9695D">
        <w:rPr>
          <w:rFonts w:asciiTheme="majorHAnsi" w:hAnsiTheme="majorHAnsi"/>
        </w:rPr>
        <w:t xml:space="preserve">Coverage should be sufficiently broad to encompass all the services </w:t>
      </w:r>
      <w:r w:rsidR="00B82613" w:rsidRPr="00F9695D">
        <w:rPr>
          <w:rFonts w:asciiTheme="majorHAnsi" w:hAnsiTheme="majorHAnsi"/>
        </w:rPr>
        <w:t>offered</w:t>
      </w:r>
      <w:r w:rsidRPr="00F9695D">
        <w:rPr>
          <w:rFonts w:asciiTheme="majorHAnsi" w:hAnsiTheme="majorHAnsi"/>
        </w:rPr>
        <w:t xml:space="preserve"> by the CPA with extensions for specific exposure</w:t>
      </w:r>
      <w:r w:rsidR="00720B46">
        <w:rPr>
          <w:rFonts w:asciiTheme="majorHAnsi" w:hAnsiTheme="majorHAnsi"/>
        </w:rPr>
        <w:t>s</w:t>
      </w:r>
      <w:r w:rsidRPr="00F9695D">
        <w:rPr>
          <w:rFonts w:asciiTheme="majorHAnsi" w:hAnsiTheme="majorHAnsi"/>
        </w:rPr>
        <w:t xml:space="preserve"> like fiduciary </w:t>
      </w:r>
      <w:r w:rsidR="00720B46">
        <w:rPr>
          <w:rFonts w:asciiTheme="majorHAnsi" w:hAnsiTheme="majorHAnsi"/>
        </w:rPr>
        <w:t>services</w:t>
      </w:r>
      <w:r w:rsidRPr="00F9695D">
        <w:rPr>
          <w:rFonts w:asciiTheme="majorHAnsi" w:hAnsiTheme="majorHAnsi"/>
        </w:rPr>
        <w:t xml:space="preserve">, </w:t>
      </w:r>
      <w:r w:rsidR="00B82613" w:rsidRPr="00F9695D">
        <w:rPr>
          <w:rFonts w:asciiTheme="majorHAnsi" w:hAnsiTheme="majorHAnsi"/>
        </w:rPr>
        <w:t>personal financial planning and cyber perils</w:t>
      </w:r>
      <w:r w:rsidR="00C867CA" w:rsidRPr="00F9695D">
        <w:rPr>
          <w:rFonts w:asciiTheme="majorHAnsi" w:hAnsiTheme="majorHAnsi"/>
        </w:rPr>
        <w:t>.</w:t>
      </w:r>
      <w:r w:rsidR="00B82613" w:rsidRPr="00F9695D">
        <w:rPr>
          <w:rFonts w:asciiTheme="majorHAnsi" w:hAnsiTheme="majorHAnsi"/>
        </w:rPr>
        <w:t xml:space="preserve"> </w:t>
      </w:r>
      <w:r w:rsidR="00C867CA" w:rsidRPr="00F9695D">
        <w:rPr>
          <w:rFonts w:asciiTheme="majorHAnsi" w:hAnsiTheme="majorHAnsi"/>
        </w:rPr>
        <w:t>The policy should</w:t>
      </w:r>
      <w:r w:rsidR="00B82613" w:rsidRPr="00F9695D">
        <w:rPr>
          <w:rFonts w:asciiTheme="majorHAnsi" w:hAnsiTheme="majorHAnsi"/>
        </w:rPr>
        <w:t xml:space="preserve"> provide sufficient</w:t>
      </w:r>
      <w:r w:rsidR="00C867CA" w:rsidRPr="00F9695D">
        <w:rPr>
          <w:rFonts w:asciiTheme="majorHAnsi" w:hAnsiTheme="majorHAnsi"/>
        </w:rPr>
        <w:t xml:space="preserve"> </w:t>
      </w:r>
      <w:r w:rsidR="00B82613" w:rsidRPr="00F9695D">
        <w:rPr>
          <w:rFonts w:asciiTheme="majorHAnsi" w:hAnsiTheme="majorHAnsi"/>
        </w:rPr>
        <w:t>limits</w:t>
      </w:r>
      <w:r w:rsidR="00C867CA" w:rsidRPr="00F9695D">
        <w:rPr>
          <w:rFonts w:asciiTheme="majorHAnsi" w:hAnsiTheme="majorHAnsi"/>
        </w:rPr>
        <w:t xml:space="preserve"> of liability to protect the CPA against </w:t>
      </w:r>
      <w:r w:rsidR="00C22C88">
        <w:rPr>
          <w:rFonts w:asciiTheme="majorHAnsi" w:hAnsiTheme="majorHAnsi"/>
        </w:rPr>
        <w:t>the maximum potential loss</w:t>
      </w:r>
      <w:r w:rsidR="00C15F10">
        <w:rPr>
          <w:rFonts w:asciiTheme="majorHAnsi" w:hAnsiTheme="majorHAnsi"/>
        </w:rPr>
        <w:t xml:space="preserve"> plus any additional defense costs.</w:t>
      </w:r>
    </w:p>
    <w:p w14:paraId="6D63785A" w14:textId="77777777" w:rsidR="00D92502" w:rsidRDefault="00D92502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098B5E9F" w14:textId="77777777" w:rsidR="00047D9D" w:rsidRPr="00F9695D" w:rsidRDefault="00047D9D" w:rsidP="00047D9D">
      <w:pPr>
        <w:tabs>
          <w:tab w:val="left" w:pos="0"/>
        </w:tabs>
        <w:ind w:left="-450"/>
        <w:rPr>
          <w:rFonts w:asciiTheme="majorHAnsi" w:hAnsiTheme="majorHAnsi"/>
        </w:rPr>
      </w:pPr>
      <w:r>
        <w:rPr>
          <w:rFonts w:asciiTheme="majorHAnsi" w:hAnsiTheme="majorHAnsi"/>
        </w:rPr>
        <w:t>Coverage is often limited by a prior acts (or retro limitation) date and policies are written on a claim made and reported basis (that is, claim must be notified during the policy terms and related to work performed after the prior acts date).</w:t>
      </w:r>
    </w:p>
    <w:p w14:paraId="42B9B75A" w14:textId="77777777" w:rsidR="00047D9D" w:rsidRDefault="00047D9D" w:rsidP="00E03D1C">
      <w:pPr>
        <w:tabs>
          <w:tab w:val="left" w:pos="0"/>
        </w:tabs>
        <w:ind w:left="-450"/>
        <w:rPr>
          <w:rFonts w:asciiTheme="majorHAnsi" w:hAnsiTheme="majorHAnsi"/>
        </w:rPr>
      </w:pPr>
    </w:p>
    <w:p w14:paraId="3BF811AE" w14:textId="299307A0" w:rsidR="00047D9D" w:rsidRDefault="00017384" w:rsidP="00625EA2">
      <w:pPr>
        <w:tabs>
          <w:tab w:val="left" w:pos="0"/>
        </w:tabs>
        <w:ind w:left="-450"/>
        <w:rPr>
          <w:rFonts w:asciiTheme="majorHAnsi" w:hAnsiTheme="majorHAnsi"/>
        </w:rPr>
      </w:pPr>
      <w:r>
        <w:rPr>
          <w:rFonts w:asciiTheme="majorHAnsi" w:hAnsiTheme="majorHAnsi"/>
        </w:rPr>
        <w:t>The majority of</w:t>
      </w:r>
      <w:r w:rsidR="00D92502">
        <w:rPr>
          <w:rFonts w:asciiTheme="majorHAnsi" w:hAnsiTheme="majorHAnsi"/>
        </w:rPr>
        <w:t xml:space="preserve"> </w:t>
      </w:r>
      <w:r w:rsidR="0017420B">
        <w:rPr>
          <w:rFonts w:asciiTheme="majorHAnsi" w:hAnsiTheme="majorHAnsi"/>
        </w:rPr>
        <w:t xml:space="preserve">professional liability underwriters use </w:t>
      </w:r>
      <w:r w:rsidR="00FB622F">
        <w:rPr>
          <w:rFonts w:asciiTheme="majorHAnsi" w:hAnsiTheme="majorHAnsi"/>
        </w:rPr>
        <w:t xml:space="preserve">either </w:t>
      </w:r>
      <w:r>
        <w:rPr>
          <w:rFonts w:asciiTheme="majorHAnsi" w:hAnsiTheme="majorHAnsi"/>
        </w:rPr>
        <w:t>billable</w:t>
      </w:r>
      <w:r w:rsidR="00FB622F">
        <w:rPr>
          <w:rFonts w:asciiTheme="majorHAnsi" w:hAnsiTheme="majorHAnsi"/>
        </w:rPr>
        <w:t xml:space="preserve"> staff or r</w:t>
      </w:r>
      <w:r w:rsidR="00F070C4">
        <w:rPr>
          <w:rFonts w:asciiTheme="majorHAnsi" w:hAnsiTheme="majorHAnsi"/>
        </w:rPr>
        <w:t xml:space="preserve">evenues as a rating base.  </w:t>
      </w:r>
      <w:r w:rsidR="005B04CB">
        <w:rPr>
          <w:rFonts w:asciiTheme="majorHAnsi" w:hAnsiTheme="majorHAnsi"/>
        </w:rPr>
        <w:t>Premium a</w:t>
      </w:r>
      <w:r w:rsidR="00BB1B11">
        <w:rPr>
          <w:rFonts w:asciiTheme="majorHAnsi" w:hAnsiTheme="majorHAnsi"/>
        </w:rPr>
        <w:t xml:space="preserve">djustments are made for location, area of practice and claims experience.  Finally </w:t>
      </w:r>
      <w:r w:rsidR="00E9719C">
        <w:rPr>
          <w:rFonts w:asciiTheme="majorHAnsi" w:hAnsiTheme="majorHAnsi"/>
        </w:rPr>
        <w:t xml:space="preserve">Individual risk </w:t>
      </w:r>
      <w:r w:rsidR="009F7B27">
        <w:rPr>
          <w:rFonts w:asciiTheme="majorHAnsi" w:hAnsiTheme="majorHAnsi"/>
        </w:rPr>
        <w:t>modification</w:t>
      </w:r>
      <w:r w:rsidR="00E9719C">
        <w:rPr>
          <w:rFonts w:asciiTheme="majorHAnsi" w:hAnsiTheme="majorHAnsi"/>
        </w:rPr>
        <w:t xml:space="preserve"> factors are applied </w:t>
      </w:r>
      <w:r w:rsidR="009F7B27">
        <w:rPr>
          <w:rFonts w:asciiTheme="majorHAnsi" w:hAnsiTheme="majorHAnsi"/>
        </w:rPr>
        <w:t xml:space="preserve">to account for types of clients, risk </w:t>
      </w:r>
      <w:r w:rsidR="00162843">
        <w:rPr>
          <w:rFonts w:asciiTheme="majorHAnsi" w:hAnsiTheme="majorHAnsi"/>
        </w:rPr>
        <w:t xml:space="preserve">and practice management features.  Coverage </w:t>
      </w:r>
      <w:r w:rsidR="00C2548A">
        <w:rPr>
          <w:rFonts w:asciiTheme="majorHAnsi" w:hAnsiTheme="majorHAnsi"/>
        </w:rPr>
        <w:t>can be augmented by adding a separate limit for defense costs</w:t>
      </w:r>
      <w:r w:rsidR="008A56B3">
        <w:rPr>
          <w:rFonts w:asciiTheme="majorHAnsi" w:hAnsiTheme="majorHAnsi"/>
        </w:rPr>
        <w:t xml:space="preserve"> or additional cyber </w:t>
      </w:r>
      <w:r w:rsidR="00E95C5A">
        <w:rPr>
          <w:rFonts w:asciiTheme="majorHAnsi" w:hAnsiTheme="majorHAnsi"/>
        </w:rPr>
        <w:t>coverage</w:t>
      </w:r>
      <w:r w:rsidR="00C2548A">
        <w:rPr>
          <w:rFonts w:asciiTheme="majorHAnsi" w:hAnsiTheme="majorHAnsi"/>
        </w:rPr>
        <w:t>.  Deduct</w:t>
      </w:r>
      <w:r w:rsidR="0044606B">
        <w:rPr>
          <w:rFonts w:asciiTheme="majorHAnsi" w:hAnsiTheme="majorHAnsi"/>
        </w:rPr>
        <w:t>i</w:t>
      </w:r>
      <w:r w:rsidR="00C2548A">
        <w:rPr>
          <w:rFonts w:asciiTheme="majorHAnsi" w:hAnsiTheme="majorHAnsi"/>
        </w:rPr>
        <w:t>ble</w:t>
      </w:r>
      <w:r w:rsidR="0044606B">
        <w:rPr>
          <w:rFonts w:asciiTheme="majorHAnsi" w:hAnsiTheme="majorHAnsi"/>
        </w:rPr>
        <w:t xml:space="preserve"> can be </w:t>
      </w:r>
      <w:r w:rsidR="003A0F03">
        <w:rPr>
          <w:rFonts w:asciiTheme="majorHAnsi" w:hAnsiTheme="majorHAnsi"/>
        </w:rPr>
        <w:t>modified to aggregate or loss only.</w:t>
      </w:r>
      <w:r w:rsidR="00625EA2">
        <w:rPr>
          <w:rFonts w:asciiTheme="majorHAnsi" w:hAnsiTheme="majorHAnsi"/>
        </w:rPr>
        <w:t xml:space="preserve">  </w:t>
      </w:r>
      <w:r w:rsidR="003A0F03">
        <w:rPr>
          <w:rFonts w:asciiTheme="majorHAnsi" w:hAnsiTheme="majorHAnsi"/>
        </w:rPr>
        <w:t>Standard exclusions usu</w:t>
      </w:r>
      <w:r w:rsidR="00E03D1C">
        <w:rPr>
          <w:rFonts w:asciiTheme="majorHAnsi" w:hAnsiTheme="majorHAnsi"/>
        </w:rPr>
        <w:t>ally relate</w:t>
      </w:r>
      <w:r w:rsidR="003A0F03">
        <w:rPr>
          <w:rFonts w:asciiTheme="majorHAnsi" w:hAnsiTheme="majorHAnsi"/>
        </w:rPr>
        <w:t xml:space="preserve"> to </w:t>
      </w:r>
      <w:r w:rsidR="00E03D1C">
        <w:rPr>
          <w:rFonts w:asciiTheme="majorHAnsi" w:hAnsiTheme="majorHAnsi"/>
        </w:rPr>
        <w:t>criminal acts, conflicts</w:t>
      </w:r>
      <w:r w:rsidR="003A0F03">
        <w:rPr>
          <w:rFonts w:asciiTheme="majorHAnsi" w:hAnsiTheme="majorHAnsi"/>
        </w:rPr>
        <w:t xml:space="preserve"> of interest, coverage provided by other insurance products or activities generally </w:t>
      </w:r>
      <w:r w:rsidR="00E03D1C">
        <w:rPr>
          <w:rFonts w:asciiTheme="majorHAnsi" w:hAnsiTheme="majorHAnsi"/>
        </w:rPr>
        <w:t>considered</w:t>
      </w:r>
      <w:r w:rsidR="00047D9D">
        <w:rPr>
          <w:rFonts w:asciiTheme="majorHAnsi" w:hAnsiTheme="majorHAnsi"/>
        </w:rPr>
        <w:t xml:space="preserve"> high risk.</w:t>
      </w:r>
    </w:p>
    <w:p w14:paraId="15AA912B" w14:textId="65D1DF0E" w:rsidR="00047D9D" w:rsidRDefault="00985565" w:rsidP="00047D9D">
      <w:pPr>
        <w:tabs>
          <w:tab w:val="left" w:pos="0"/>
        </w:tabs>
        <w:ind w:left="-45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Access to the insurance markets that </w:t>
      </w:r>
      <w:r w:rsidR="00E052B0">
        <w:rPr>
          <w:rFonts w:asciiTheme="majorHAnsi" w:hAnsiTheme="majorHAnsi"/>
        </w:rPr>
        <w:t>offer</w:t>
      </w:r>
      <w:r>
        <w:rPr>
          <w:rFonts w:asciiTheme="majorHAnsi" w:hAnsiTheme="majorHAnsi"/>
        </w:rPr>
        <w:t xml:space="preserve"> accountants’ </w:t>
      </w:r>
      <w:r w:rsidRPr="00F9695D">
        <w:rPr>
          <w:rFonts w:asciiTheme="majorHAnsi" w:hAnsiTheme="majorHAnsi"/>
        </w:rPr>
        <w:t xml:space="preserve">professional liability insurance </w:t>
      </w:r>
      <w:r>
        <w:rPr>
          <w:rFonts w:asciiTheme="majorHAnsi" w:hAnsiTheme="majorHAnsi"/>
        </w:rPr>
        <w:t xml:space="preserve">is often only available through a specialist </w:t>
      </w:r>
      <w:r w:rsidR="00E052B0">
        <w:rPr>
          <w:rFonts w:asciiTheme="majorHAnsi" w:hAnsiTheme="majorHAnsi"/>
        </w:rPr>
        <w:t>program manager or wholesale broker.</w:t>
      </w:r>
    </w:p>
    <w:p w14:paraId="68DD6AD8" w14:textId="77777777" w:rsidR="00047D9D" w:rsidRPr="00047D9D" w:rsidRDefault="00047D9D" w:rsidP="00047D9D">
      <w:pPr>
        <w:tabs>
          <w:tab w:val="left" w:pos="0"/>
        </w:tabs>
        <w:ind w:left="-450"/>
        <w:rPr>
          <w:rFonts w:asciiTheme="majorHAnsi" w:hAnsiTheme="majorHAnsi"/>
        </w:rPr>
      </w:pPr>
    </w:p>
    <w:sectPr w:rsidR="00047D9D" w:rsidRPr="00047D9D" w:rsidSect="00C05195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577F69"/>
    <w:multiLevelType w:val="hybridMultilevel"/>
    <w:tmpl w:val="87F41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25"/>
    <w:rsid w:val="00017384"/>
    <w:rsid w:val="00047D9D"/>
    <w:rsid w:val="000E7633"/>
    <w:rsid w:val="00162843"/>
    <w:rsid w:val="0017420B"/>
    <w:rsid w:val="00182591"/>
    <w:rsid w:val="001B1E4C"/>
    <w:rsid w:val="001D41B3"/>
    <w:rsid w:val="002C41C4"/>
    <w:rsid w:val="00386EC5"/>
    <w:rsid w:val="003A0F03"/>
    <w:rsid w:val="0044606B"/>
    <w:rsid w:val="004D3656"/>
    <w:rsid w:val="004D5671"/>
    <w:rsid w:val="004F59C1"/>
    <w:rsid w:val="00581865"/>
    <w:rsid w:val="005B04CB"/>
    <w:rsid w:val="005B2802"/>
    <w:rsid w:val="005B5FA5"/>
    <w:rsid w:val="00625EA2"/>
    <w:rsid w:val="00666CA3"/>
    <w:rsid w:val="00720B46"/>
    <w:rsid w:val="00725FEA"/>
    <w:rsid w:val="00730AF0"/>
    <w:rsid w:val="008151B9"/>
    <w:rsid w:val="00894F57"/>
    <w:rsid w:val="008A56B3"/>
    <w:rsid w:val="00985565"/>
    <w:rsid w:val="009F7B27"/>
    <w:rsid w:val="00B82613"/>
    <w:rsid w:val="00BB1B11"/>
    <w:rsid w:val="00C05195"/>
    <w:rsid w:val="00C15F10"/>
    <w:rsid w:val="00C22C88"/>
    <w:rsid w:val="00C2548A"/>
    <w:rsid w:val="00C4679F"/>
    <w:rsid w:val="00C867CA"/>
    <w:rsid w:val="00D13B25"/>
    <w:rsid w:val="00D62136"/>
    <w:rsid w:val="00D92502"/>
    <w:rsid w:val="00D95C29"/>
    <w:rsid w:val="00E03D1C"/>
    <w:rsid w:val="00E052B0"/>
    <w:rsid w:val="00E330B1"/>
    <w:rsid w:val="00E73819"/>
    <w:rsid w:val="00E95C5A"/>
    <w:rsid w:val="00E9719C"/>
    <w:rsid w:val="00F070C4"/>
    <w:rsid w:val="00F714C3"/>
    <w:rsid w:val="00F9695D"/>
    <w:rsid w:val="00FB24FD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57AC9"/>
  <w14:defaultImageDpi w14:val="300"/>
  <w15:docId w15:val="{ACB7BDDB-643F-4B6F-B0DC-69C1D6E5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Jorgensen</dc:creator>
  <cp:lastModifiedBy>Peter</cp:lastModifiedBy>
  <cp:revision>2</cp:revision>
  <dcterms:created xsi:type="dcterms:W3CDTF">2016-11-01T16:41:00Z</dcterms:created>
  <dcterms:modified xsi:type="dcterms:W3CDTF">2016-11-01T16:41:00Z</dcterms:modified>
</cp:coreProperties>
</file>